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DC9" w:rsidRPr="00665DC9" w:rsidRDefault="00665DC9" w:rsidP="00665DC9">
      <w:pPr>
        <w:contextualSpacing/>
        <w:rPr>
          <w:b/>
          <w:sz w:val="22"/>
          <w:szCs w:val="22"/>
          <w:u w:val="single"/>
        </w:rPr>
      </w:pPr>
      <w:r w:rsidRPr="00665DC9">
        <w:rPr>
          <w:b/>
          <w:sz w:val="22"/>
          <w:szCs w:val="22"/>
          <w:u w:val="single"/>
        </w:rPr>
        <w:t>SPECIAL TERMS AND CONDITIONS</w:t>
      </w:r>
    </w:p>
    <w:p w:rsidR="00665DC9" w:rsidRPr="00665DC9" w:rsidRDefault="00665DC9" w:rsidP="00665DC9">
      <w:pPr>
        <w:contextualSpacing/>
        <w:rPr>
          <w:sz w:val="22"/>
          <w:szCs w:val="22"/>
        </w:rPr>
      </w:pPr>
    </w:p>
    <w:p w:rsidR="00665DC9" w:rsidRPr="00665DC9" w:rsidRDefault="00665DC9" w:rsidP="00665DC9">
      <w:pPr>
        <w:pStyle w:val="ListParagraph"/>
        <w:numPr>
          <w:ilvl w:val="0"/>
          <w:numId w:val="1"/>
        </w:numPr>
        <w:rPr>
          <w:b/>
          <w:sz w:val="22"/>
          <w:szCs w:val="22"/>
          <w:u w:val="single"/>
        </w:rPr>
      </w:pPr>
      <w:r w:rsidRPr="00665DC9">
        <w:rPr>
          <w:b/>
          <w:sz w:val="22"/>
          <w:szCs w:val="22"/>
          <w:u w:val="single"/>
        </w:rPr>
        <w:t>Dispute Provisions</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parties shall deal in good faith and attempt to resolve disputes informally. 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the decision or issue under dispute;</w:t>
      </w:r>
    </w:p>
    <w:p w:rsidR="00665DC9" w:rsidRPr="00665DC9" w:rsidRDefault="00665DC9" w:rsidP="00665DC9">
      <w:pPr>
        <w:pStyle w:val="ListParagraph"/>
        <w:numPr>
          <w:ilvl w:val="1"/>
          <w:numId w:val="2"/>
        </w:numPr>
        <w:rPr>
          <w:sz w:val="22"/>
          <w:szCs w:val="22"/>
        </w:rPr>
      </w:pPr>
      <w:r w:rsidRPr="00665DC9">
        <w:rPr>
          <w:sz w:val="22"/>
          <w:szCs w:val="22"/>
        </w:rPr>
        <w:t>the reason(s) Contractor believes the decision or position taken by the Exchange is in error (if applicable, reference pertinent contract provisions);</w:t>
      </w:r>
    </w:p>
    <w:p w:rsidR="00665DC9" w:rsidRPr="00665DC9" w:rsidRDefault="00665DC9" w:rsidP="00665DC9">
      <w:pPr>
        <w:pStyle w:val="ListParagraph"/>
        <w:numPr>
          <w:ilvl w:val="1"/>
          <w:numId w:val="2"/>
        </w:numPr>
        <w:rPr>
          <w:sz w:val="22"/>
          <w:szCs w:val="22"/>
        </w:rPr>
      </w:pPr>
      <w:r w:rsidRPr="00665DC9">
        <w:rPr>
          <w:sz w:val="22"/>
          <w:szCs w:val="22"/>
        </w:rPr>
        <w:t>identification of all documents and substance of all oral communication which support Contractor’s position; and</w:t>
      </w:r>
    </w:p>
    <w:p w:rsidR="00665DC9" w:rsidRPr="00665DC9" w:rsidRDefault="00665DC9" w:rsidP="00665DC9">
      <w:pPr>
        <w:pStyle w:val="ListParagraph"/>
        <w:numPr>
          <w:ilvl w:val="1"/>
          <w:numId w:val="2"/>
        </w:numPr>
        <w:rPr>
          <w:sz w:val="22"/>
          <w:szCs w:val="22"/>
        </w:rPr>
      </w:pPr>
      <w:r w:rsidRPr="00665DC9">
        <w:rPr>
          <w:sz w:val="22"/>
          <w:szCs w:val="22"/>
        </w:rPr>
        <w:t>the dollar amount in dispute, if applicable.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Exchange Project Representative, within 15 calendar days after receipt of the dispute notice, shall issue a written decision regarding the dispute.  The written decision shall include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a description of the dispute;</w:t>
      </w:r>
    </w:p>
    <w:p w:rsidR="00665DC9" w:rsidRPr="00665DC9" w:rsidRDefault="00665DC9" w:rsidP="00665DC9">
      <w:pPr>
        <w:pStyle w:val="ListParagraph"/>
        <w:numPr>
          <w:ilvl w:val="1"/>
          <w:numId w:val="2"/>
        </w:numPr>
        <w:rPr>
          <w:sz w:val="22"/>
          <w:szCs w:val="22"/>
        </w:rPr>
      </w:pPr>
      <w:r w:rsidRPr="00665DC9">
        <w:rPr>
          <w:sz w:val="22"/>
          <w:szCs w:val="22"/>
        </w:rPr>
        <w:t>a reference to pertinent contract provisions, if applicable;</w:t>
      </w:r>
    </w:p>
    <w:p w:rsidR="00665DC9" w:rsidRPr="00665DC9" w:rsidRDefault="00665DC9" w:rsidP="00665DC9">
      <w:pPr>
        <w:pStyle w:val="ListParagraph"/>
        <w:numPr>
          <w:ilvl w:val="1"/>
          <w:numId w:val="2"/>
        </w:numPr>
        <w:rPr>
          <w:sz w:val="22"/>
          <w:szCs w:val="22"/>
        </w:rPr>
      </w:pPr>
      <w:r w:rsidRPr="00665DC9">
        <w:rPr>
          <w:sz w:val="22"/>
          <w:szCs w:val="22"/>
        </w:rPr>
        <w:t>a statement of the factual areas of agreement or disagreement; and</w:t>
      </w:r>
    </w:p>
    <w:p w:rsidR="00665DC9" w:rsidRPr="00665DC9" w:rsidRDefault="00665DC9" w:rsidP="00665DC9">
      <w:pPr>
        <w:pStyle w:val="ListParagraph"/>
        <w:numPr>
          <w:ilvl w:val="1"/>
          <w:numId w:val="2"/>
        </w:numPr>
        <w:rPr>
          <w:sz w:val="22"/>
          <w:szCs w:val="22"/>
        </w:rPr>
      </w:pPr>
      <w:r w:rsidRPr="00665DC9">
        <w:rPr>
          <w:sz w:val="22"/>
          <w:szCs w:val="22"/>
        </w:rPr>
        <w:t>a statement of the representative’s decision with supporting rationale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days after receiving Contractor’s written appeal.  If the Executive Director fails to render a final decision within 30 days after receipt of Contractor’s written appeal, it shall be deemed a final decision adverse to the Contractor’s contentions.  The Executive Director’s final decision shall be conclusive and binding regarding the dispute unless Contractor commences an action in a court of competent jurisdiction to contest such decision within 30 days following the date of the final decision.</w:t>
      </w:r>
    </w:p>
    <w:p w:rsidR="00665DC9" w:rsidRDefault="00665DC9" w:rsidP="00665DC9">
      <w:pPr>
        <w:pStyle w:val="ListParagraph"/>
        <w:rPr>
          <w:sz w:val="22"/>
          <w:szCs w:val="22"/>
        </w:rPr>
      </w:pPr>
    </w:p>
    <w:p w:rsidR="00665DC9" w:rsidRDefault="00665DC9" w:rsidP="00665DC9">
      <w:pPr>
        <w:pStyle w:val="ListParagraph"/>
        <w:numPr>
          <w:ilvl w:val="0"/>
          <w:numId w:val="2"/>
        </w:numPr>
        <w:rPr>
          <w:sz w:val="22"/>
          <w:szCs w:val="22"/>
        </w:rPr>
      </w:pPr>
      <w:r w:rsidRPr="00665DC9">
        <w:rPr>
          <w:sz w:val="22"/>
          <w:szCs w:val="22"/>
        </w:rPr>
        <w:t>Pending the final resolution of any dispute arising under, related to or involving this Contract, Contractor agrees to diligently proceed with the performance of this Contract, including the delivery of Goods or providing of services in accordance with the Exchange’s instructions. Contractor’s failure to diligently proceed in accordance with the Exchange’s instructions shall be considered a material breach of this Contract.</w:t>
      </w:r>
    </w:p>
    <w:p w:rsidR="00665DC9" w:rsidRDefault="00665DC9"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Termination Without Cause</w:t>
      </w:r>
    </w:p>
    <w:p w:rsidR="00665DC9" w:rsidRDefault="00665DC9" w:rsidP="00665DC9">
      <w:pPr>
        <w:ind w:left="720"/>
        <w:rPr>
          <w:sz w:val="22"/>
          <w:szCs w:val="22"/>
        </w:rPr>
      </w:pPr>
      <w:r w:rsidRPr="00665DC9">
        <w:rPr>
          <w:sz w:val="22"/>
          <w:szCs w:val="22"/>
        </w:rPr>
        <w:t xml:space="preserve">This Agreement may be terminated without cause by the State upon 30 days written notice to the contractor.  </w:t>
      </w:r>
    </w:p>
    <w:p w:rsidR="00665DC9" w:rsidRDefault="00665DC9" w:rsidP="00665DC9">
      <w:pPr>
        <w:pStyle w:val="ListParagraph"/>
        <w:numPr>
          <w:ilvl w:val="0"/>
          <w:numId w:val="1"/>
        </w:numPr>
        <w:rPr>
          <w:b/>
          <w:sz w:val="22"/>
          <w:szCs w:val="22"/>
          <w:u w:val="single"/>
        </w:rPr>
      </w:pPr>
      <w:r w:rsidRPr="00665DC9">
        <w:rPr>
          <w:b/>
          <w:sz w:val="22"/>
          <w:szCs w:val="22"/>
          <w:u w:val="single"/>
        </w:rPr>
        <w:lastRenderedPageBreak/>
        <w:t>Debarment and Suspension</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For federally funded agreements, Contractor certifies that to the best of his/her knowledge and belief he/she and their principals or affiliates or any sub-contractor utilized under this agreement,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sub-contractors are not listed on the Excluded Parties Listing System (http://www.</w:t>
      </w:r>
      <w:r w:rsidR="00F12607">
        <w:rPr>
          <w:sz w:val="22"/>
          <w:szCs w:val="22"/>
        </w:rPr>
        <w:t>sam</w:t>
      </w:r>
      <w:r w:rsidRPr="00665DC9">
        <w:rPr>
          <w:sz w:val="22"/>
          <w:szCs w:val="22"/>
        </w:rPr>
        <w:t>.gov) (Executive Order 12549, 7 CFR Part 3017, 45 CFR Part 76, and 44 CFR Part 17).</w:t>
      </w:r>
    </w:p>
    <w:p w:rsidR="00665DC9" w:rsidRP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Certification Regarding Lobbying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Applicable to Grants, Subgrants, Cooperative Agreements, and Contracts Exceeding $100,000 in Federal Funds.</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3"/>
        </w:numPr>
        <w:rPr>
          <w:b/>
          <w:sz w:val="22"/>
          <w:szCs w:val="22"/>
          <w:u w:val="single"/>
        </w:rPr>
      </w:pPr>
      <w:r w:rsidRPr="00665DC9">
        <w:rPr>
          <w:sz w:val="22"/>
          <w:szCs w:val="22"/>
        </w:rPr>
        <w:t>For Agreements with Contractors who are State entities not under the authority of the Governor,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3"/>
        </w:numPr>
        <w:rPr>
          <w:b/>
          <w:sz w:val="22"/>
          <w:szCs w:val="22"/>
          <w:u w:val="single"/>
        </w:rPr>
      </w:pPr>
      <w:r w:rsidRPr="00665DC9">
        <w:rPr>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rsidR="00665DC9" w:rsidRPr="00665DC9" w:rsidRDefault="00665DC9" w:rsidP="00665DC9">
      <w:pPr>
        <w:pStyle w:val="ListParagraph"/>
        <w:numPr>
          <w:ilvl w:val="1"/>
          <w:numId w:val="3"/>
        </w:numPr>
        <w:rPr>
          <w:b/>
          <w:sz w:val="22"/>
          <w:szCs w:val="22"/>
          <w:u w:val="single"/>
        </w:rPr>
      </w:pPr>
      <w:r w:rsidRPr="00665DC9">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rsidR="00665DC9" w:rsidRPr="00665DC9" w:rsidRDefault="00665DC9" w:rsidP="00665DC9">
      <w:pPr>
        <w:pStyle w:val="ListParagraph"/>
        <w:numPr>
          <w:ilvl w:val="1"/>
          <w:numId w:val="3"/>
        </w:numPr>
        <w:rPr>
          <w:b/>
          <w:sz w:val="22"/>
          <w:szCs w:val="22"/>
          <w:u w:val="single"/>
        </w:rPr>
      </w:pPr>
      <w:r w:rsidRPr="00665DC9">
        <w:rPr>
          <w:sz w:val="22"/>
          <w:szCs w:val="22"/>
        </w:rPr>
        <w:t>The Contractor shall require that the language of this certification be included in the award documents for all covered subawards exceeding $100,000 in Federal funds at all appropriate tiers and that all subrecipients shall certify and disclose accordingly.</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3"/>
        </w:numPr>
        <w:rPr>
          <w:b/>
          <w:sz w:val="22"/>
          <w:szCs w:val="22"/>
          <w:u w:val="single"/>
        </w:rPr>
      </w:pPr>
      <w:r w:rsidRPr="00665DC9">
        <w:rPr>
          <w:sz w:val="22"/>
          <w:szCs w:val="22"/>
        </w:rPr>
        <w:t xml:space="preserve">This certification is a prerequisite for making or entering into this transaction and is imposed by Section 1352, Title 31, U. S. Code.  This certification is a material representation of fact upon which reliance was placed when this transaction was made or entered into.  Any person who fails to file the required certification shall be </w:t>
      </w:r>
      <w:r w:rsidRPr="00665DC9">
        <w:rPr>
          <w:sz w:val="22"/>
          <w:szCs w:val="22"/>
        </w:rPr>
        <w:lastRenderedPageBreak/>
        <w:t>subject to a civil penalty of no less than $10,000 and not more than $100,000 for each such failure.</w:t>
      </w:r>
    </w:p>
    <w:p w:rsidR="00665DC9" w:rsidRPr="00665DC9" w:rsidRDefault="00665DC9" w:rsidP="00665DC9">
      <w:pPr>
        <w:pStyle w:val="ListParagraph"/>
        <w:ind w:left="1080"/>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 xml:space="preserve">Computer Software Copyrights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Contractor certifies that it has appropriate systems and controls in place to ensure that state funds will not be used in the performance of this contract for the acquisition, operation or maintenance of computer software in violation of copyright laws.</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A-133 Audit</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To the extent applicable, pursuant to Office of Management and Budget (OMB) Circular A-133 §___.200 “Audit Requirements”, non-federal entities that expend $500,000 or more in a year in Federal awards from all sources combined shall have a single or program-specific audit conducted for that year in accordance with the provisions of OMB Circular A-133. All OMB Circular A-133 audit reports shall meet the reporting requirements established in OMB §___.320 “Report Submission” and a copy shall be forwarded to the California Health Benefit Exchange.</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Executive Compensation Reporting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To the extent applicable, pursuant to 2 C.F.R. Part 170, certain subrecipients of federal awards that in the previous fiscal year received 80% or more of their annual gross revenues from Federal procurement contracts and subcontracts and Federal financial assistance subject to the Transparency Act, as defined at 2 C.F.R.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78m(a), 78o(d)) or Section 6104 of the Internal Revenue Code of 1986, the subrecipient must report the names and total compensation of each of the subrecipient’s five most highly compensated executives for the subrecipient’s preceding completed fiscal year.</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Subcontractors</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(Applicable to agreements in which the Contractor subcontracts out a portion of the work)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w:t>
      </w:r>
      <w:r>
        <w:rPr>
          <w:sz w:val="22"/>
          <w:szCs w:val="22"/>
        </w:rPr>
        <w:t xml:space="preserve">t </w:t>
      </w:r>
      <w:r w:rsidRPr="00665DC9">
        <w:rPr>
          <w:sz w:val="22"/>
          <w:szCs w:val="22"/>
        </w:rPr>
        <w:t xml:space="preserve">is for the acts and omissions of persons directly employed by the Contractor. The Contractor’s obligation to pay its subcontractors is an independent obligation from the obligation of the Exchange to make payments to the Contractor. As a result, the </w:t>
      </w:r>
      <w:r w:rsidRPr="00665DC9">
        <w:rPr>
          <w:sz w:val="22"/>
          <w:szCs w:val="22"/>
        </w:rPr>
        <w:lastRenderedPageBreak/>
        <w:t>Exchange shall have no obligation to pay or to enforce the payment of any moneys to any subcontractor.</w:t>
      </w:r>
    </w:p>
    <w:p w:rsidR="00665DC9" w:rsidRDefault="00665DC9"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 xml:space="preserve">Insurance Requirements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 xml:space="preserve">When Contractor submits a signed contract to the State, Contractor shall furnish to the State a certificate of insurance, stating that there is: </w:t>
      </w:r>
    </w:p>
    <w:p w:rsidR="00665DC9" w:rsidRPr="00665DC9" w:rsidRDefault="00665DC9" w:rsidP="00665DC9">
      <w:pPr>
        <w:pStyle w:val="ListParagraph"/>
        <w:numPr>
          <w:ilvl w:val="0"/>
          <w:numId w:val="4"/>
        </w:numPr>
        <w:rPr>
          <w:b/>
          <w:sz w:val="22"/>
          <w:szCs w:val="22"/>
          <w:u w:val="single"/>
        </w:rPr>
      </w:pPr>
      <w:r w:rsidRPr="00665DC9">
        <w:rPr>
          <w:sz w:val="22"/>
          <w:szCs w:val="22"/>
        </w:rPr>
        <w:t>General liability insurance presently in effect for</w:t>
      </w:r>
      <w:r>
        <w:rPr>
          <w:sz w:val="22"/>
          <w:szCs w:val="22"/>
        </w:rPr>
        <w:t xml:space="preserve"> the Contractor of not less than </w:t>
      </w:r>
      <w:r w:rsidRPr="00665DC9">
        <w:rPr>
          <w:sz w:val="22"/>
          <w:szCs w:val="22"/>
        </w:rPr>
        <w:t>$1,000,000 per occurrence for bodily injury and property damage liability combined; and</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4"/>
        </w:numPr>
        <w:rPr>
          <w:b/>
          <w:sz w:val="22"/>
          <w:szCs w:val="22"/>
          <w:u w:val="single"/>
        </w:rPr>
      </w:pPr>
      <w:r w:rsidRPr="00665DC9">
        <w:rPr>
          <w:sz w:val="22"/>
          <w:szCs w:val="22"/>
        </w:rPr>
        <w:t>Automobile liability, including non-owned auto liability, of not less than $1,000,000 per occurrence for volunteers and paid employees providing services supported by this Agreement.The certificate of insurance will include provisions a, b, and c, in their entirety:</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4"/>
        </w:numPr>
        <w:rPr>
          <w:b/>
          <w:sz w:val="22"/>
          <w:szCs w:val="22"/>
          <w:u w:val="single"/>
        </w:rPr>
      </w:pPr>
      <w:r w:rsidRPr="00665DC9">
        <w:rPr>
          <w:sz w:val="22"/>
          <w:szCs w:val="22"/>
        </w:rPr>
        <w:t>That the insurer will not cancel the insured’s coverage without 30 days’ prior written notice to the State.</w:t>
      </w:r>
    </w:p>
    <w:p w:rsidR="00665DC9" w:rsidRPr="00665DC9" w:rsidRDefault="00665DC9" w:rsidP="00665DC9">
      <w:pPr>
        <w:pStyle w:val="ListParagraph"/>
        <w:numPr>
          <w:ilvl w:val="1"/>
          <w:numId w:val="4"/>
        </w:numPr>
        <w:rPr>
          <w:b/>
          <w:sz w:val="22"/>
          <w:szCs w:val="22"/>
          <w:u w:val="single"/>
        </w:rPr>
      </w:pPr>
      <w:r w:rsidRPr="00665DC9">
        <w:rPr>
          <w:sz w:val="22"/>
          <w:szCs w:val="22"/>
        </w:rPr>
        <w:t>That the State of California, its officers, agents, employees, and servants are included as additional insured, but only insofar as the operations under this contract are concerned.</w:t>
      </w:r>
    </w:p>
    <w:p w:rsidR="00665DC9" w:rsidRPr="00665DC9" w:rsidRDefault="00665DC9" w:rsidP="00665DC9">
      <w:pPr>
        <w:pStyle w:val="ListParagraph"/>
        <w:numPr>
          <w:ilvl w:val="1"/>
          <w:numId w:val="4"/>
        </w:numPr>
        <w:rPr>
          <w:b/>
          <w:sz w:val="22"/>
          <w:szCs w:val="22"/>
          <w:u w:val="single"/>
        </w:rPr>
      </w:pPr>
      <w:r w:rsidRPr="00665DC9">
        <w:rPr>
          <w:sz w:val="22"/>
          <w:szCs w:val="22"/>
        </w:rPr>
        <w:t>That the State will not be responsible for any premiums or assessment on the policy.</w:t>
      </w:r>
    </w:p>
    <w:p w:rsidR="00665DC9" w:rsidRDefault="00665DC9" w:rsidP="00665DC9">
      <w:pPr>
        <w:ind w:left="1080"/>
        <w:rPr>
          <w:b/>
          <w:sz w:val="22"/>
          <w:szCs w:val="22"/>
          <w:u w:val="single"/>
        </w:rPr>
      </w:pPr>
      <w:r w:rsidRPr="00665DC9">
        <w:rPr>
          <w:sz w:val="22"/>
          <w:szCs w:val="22"/>
        </w:rPr>
        <w:t>Contractor agrees that the general and automobile liability insurance herein provided for shall be in effect at all times during the term of this contract.  In the event said insurance coverage expires at any time or times during the term of this contract, Contractor agrees to provide at least 30 days’ prior to said expiration date, a new certificate of insurance evidencing insurance coverage as provided for herein for not less than the remainder of the term of the contract,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contract upon occurrence of such event.</w:t>
      </w:r>
    </w:p>
    <w:p w:rsidR="00665DC9" w:rsidRDefault="00665DC9" w:rsidP="00665DC9">
      <w:pPr>
        <w:ind w:left="1080"/>
        <w:rPr>
          <w:b/>
          <w:sz w:val="22"/>
          <w:szCs w:val="22"/>
          <w:u w:val="single"/>
        </w:rPr>
      </w:pPr>
      <w:r w:rsidRPr="00665DC9">
        <w:rPr>
          <w:sz w:val="22"/>
          <w:szCs w:val="22"/>
        </w:rPr>
        <w:t>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Certificate of Insurance shall also have the Contractor, not the State, as the certificate holder and additional insured. The Contractor shall maintain certificates of insurance for all its subcontractors/vendors.</w:t>
      </w:r>
    </w:p>
    <w:p w:rsidR="00665DC9" w:rsidRDefault="00665DC9" w:rsidP="00665DC9">
      <w:pPr>
        <w:ind w:left="1080"/>
        <w:rPr>
          <w:b/>
          <w:sz w:val="22"/>
          <w:szCs w:val="22"/>
          <w:u w:val="single"/>
        </w:rPr>
      </w:pPr>
      <w:r w:rsidRPr="00665DC9">
        <w:rPr>
          <w:sz w:val="22"/>
          <w:szCs w:val="22"/>
        </w:rPr>
        <w:t>The State will not provide for nor compensate Contractor for any insurance premiums or costs for any type or amount of insurance.</w:t>
      </w:r>
    </w:p>
    <w:p w:rsidR="00665DC9" w:rsidRPr="00665DC9" w:rsidRDefault="00665DC9" w:rsidP="00665DC9">
      <w:pPr>
        <w:ind w:left="1080"/>
        <w:rPr>
          <w:b/>
          <w:sz w:val="22"/>
          <w:szCs w:val="22"/>
          <w:u w:val="single"/>
        </w:rPr>
      </w:pPr>
      <w:r w:rsidRPr="00665DC9">
        <w:rPr>
          <w:sz w:val="22"/>
          <w:szCs w:val="22"/>
        </w:rPr>
        <w:lastRenderedPageBreak/>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rsidR="00835B87" w:rsidRPr="00665DC9" w:rsidRDefault="00835B87" w:rsidP="00665DC9">
      <w:pPr>
        <w:contextualSpacing/>
        <w:rPr>
          <w:sz w:val="22"/>
          <w:szCs w:val="22"/>
        </w:rPr>
      </w:pPr>
    </w:p>
    <w:sectPr w:rsidR="00835B87" w:rsidRPr="00665DC9" w:rsidSect="00665DC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DC9" w:rsidRDefault="00665DC9" w:rsidP="00665DC9">
      <w:pPr>
        <w:spacing w:after="0"/>
      </w:pPr>
      <w:r>
        <w:separator/>
      </w:r>
    </w:p>
  </w:endnote>
  <w:endnote w:type="continuationSeparator" w:id="0">
    <w:p w:rsidR="00665DC9" w:rsidRDefault="00665DC9" w:rsidP="00665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D03" w:rsidRDefault="00660D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D03" w:rsidRDefault="00660D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D03" w:rsidRDefault="00660D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DC9" w:rsidRDefault="00665DC9" w:rsidP="00665DC9">
      <w:pPr>
        <w:spacing w:after="0"/>
      </w:pPr>
      <w:r>
        <w:separator/>
      </w:r>
    </w:p>
  </w:footnote>
  <w:footnote w:type="continuationSeparator" w:id="0">
    <w:p w:rsidR="00665DC9" w:rsidRDefault="00665DC9" w:rsidP="00665D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D03" w:rsidRDefault="00660D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DC9" w:rsidRPr="00665DC9" w:rsidRDefault="00665DC9" w:rsidP="00665DC9">
    <w:pPr>
      <w:pStyle w:val="Header"/>
      <w:tabs>
        <w:tab w:val="right" w:pos="9450"/>
      </w:tabs>
      <w:rPr>
        <w:rStyle w:val="PageNumber"/>
        <w:sz w:val="18"/>
        <w:szCs w:val="18"/>
      </w:rPr>
    </w:pPr>
    <w:r w:rsidRPr="00665DC9">
      <w:rPr>
        <w:color w:val="000000"/>
        <w:sz w:val="18"/>
        <w:szCs w:val="18"/>
      </w:rPr>
      <w:t xml:space="preserve">Agreement </w:t>
    </w:r>
    <w:r w:rsidRPr="00665DC9">
      <w:rPr>
        <w:sz w:val="18"/>
        <w:szCs w:val="18"/>
      </w:rPr>
      <w:t>12-E9___</w:t>
    </w:r>
    <w:r w:rsidRPr="00665DC9">
      <w:rPr>
        <w:color w:val="000000"/>
        <w:sz w:val="18"/>
        <w:szCs w:val="18"/>
      </w:rPr>
      <w:tab/>
    </w:r>
    <w:r w:rsidRPr="00665DC9">
      <w:rPr>
        <w:color w:val="000000"/>
        <w:sz w:val="18"/>
        <w:szCs w:val="18"/>
      </w:rPr>
      <w:tab/>
      <w:t xml:space="preserve">Page </w:t>
    </w:r>
    <w:r w:rsidRPr="00665DC9">
      <w:rPr>
        <w:color w:val="000000"/>
        <w:sz w:val="18"/>
        <w:szCs w:val="18"/>
      </w:rPr>
      <w:fldChar w:fldCharType="begin"/>
    </w:r>
    <w:r w:rsidRPr="00665DC9">
      <w:rPr>
        <w:color w:val="000000"/>
        <w:sz w:val="18"/>
        <w:szCs w:val="18"/>
      </w:rPr>
      <w:instrText xml:space="preserve"> PAGE  \* Arabic  \* MERGEFORMAT </w:instrText>
    </w:r>
    <w:r w:rsidRPr="00665DC9">
      <w:rPr>
        <w:color w:val="000000"/>
        <w:sz w:val="18"/>
        <w:szCs w:val="18"/>
      </w:rPr>
      <w:fldChar w:fldCharType="separate"/>
    </w:r>
    <w:r w:rsidR="00660D03">
      <w:rPr>
        <w:noProof/>
        <w:color w:val="000000"/>
        <w:sz w:val="18"/>
        <w:szCs w:val="18"/>
      </w:rPr>
      <w:t>1</w:t>
    </w:r>
    <w:r w:rsidRPr="00665DC9">
      <w:rPr>
        <w:color w:val="000000"/>
        <w:sz w:val="18"/>
        <w:szCs w:val="18"/>
      </w:rPr>
      <w:fldChar w:fldCharType="end"/>
    </w:r>
    <w:r w:rsidRPr="00665DC9">
      <w:rPr>
        <w:color w:val="000000"/>
        <w:sz w:val="18"/>
        <w:szCs w:val="18"/>
      </w:rPr>
      <w:t xml:space="preserve"> of </w:t>
    </w:r>
    <w:r w:rsidRPr="00665DC9">
      <w:rPr>
        <w:color w:val="000000"/>
        <w:sz w:val="18"/>
        <w:szCs w:val="18"/>
      </w:rPr>
      <w:fldChar w:fldCharType="begin"/>
    </w:r>
    <w:r w:rsidRPr="00665DC9">
      <w:rPr>
        <w:color w:val="000000"/>
        <w:sz w:val="18"/>
        <w:szCs w:val="18"/>
      </w:rPr>
      <w:instrText xml:space="preserve"> NUMPAGES  \* Arabic  \* MERGEFORMAT </w:instrText>
    </w:r>
    <w:r w:rsidRPr="00665DC9">
      <w:rPr>
        <w:color w:val="000000"/>
        <w:sz w:val="18"/>
        <w:szCs w:val="18"/>
      </w:rPr>
      <w:fldChar w:fldCharType="separate"/>
    </w:r>
    <w:r w:rsidR="00660D03">
      <w:rPr>
        <w:noProof/>
        <w:color w:val="000000"/>
        <w:sz w:val="18"/>
        <w:szCs w:val="18"/>
      </w:rPr>
      <w:t>5</w:t>
    </w:r>
    <w:r w:rsidRPr="00665DC9">
      <w:rPr>
        <w:color w:val="000000"/>
        <w:sz w:val="18"/>
        <w:szCs w:val="18"/>
      </w:rPr>
      <w:fldChar w:fldCharType="end"/>
    </w:r>
  </w:p>
  <w:p w:rsidR="00665DC9" w:rsidRPr="00665DC9" w:rsidRDefault="00665DC9" w:rsidP="00665DC9">
    <w:pPr>
      <w:pStyle w:val="Header"/>
      <w:tabs>
        <w:tab w:val="right" w:pos="9270"/>
      </w:tabs>
      <w:rPr>
        <w:sz w:val="18"/>
        <w:szCs w:val="18"/>
      </w:rPr>
    </w:pPr>
    <w:r w:rsidRPr="00665DC9">
      <w:rPr>
        <w:sz w:val="18"/>
        <w:szCs w:val="18"/>
      </w:rPr>
      <w:t>California Health Benefit Exchange/</w:t>
    </w:r>
    <w:r w:rsidRPr="00665DC9">
      <w:rPr>
        <w:color w:val="FF0000"/>
        <w:sz w:val="18"/>
        <w:szCs w:val="18"/>
      </w:rPr>
      <w:t>(Enter Contractor’s Name)</w:t>
    </w:r>
  </w:p>
  <w:p w:rsidR="00665DC9" w:rsidRPr="004403D7" w:rsidRDefault="00665DC9" w:rsidP="00665DC9">
    <w:pPr>
      <w:pStyle w:val="Header"/>
      <w:tabs>
        <w:tab w:val="right" w:pos="9270"/>
      </w:tabs>
      <w:rPr>
        <w:color w:val="000000"/>
      </w:rPr>
    </w:pPr>
  </w:p>
  <w:p w:rsidR="004449C6" w:rsidRPr="00F97CD8" w:rsidRDefault="00660D03" w:rsidP="004449C6">
    <w:pPr>
      <w:pStyle w:val="Header"/>
      <w:jc w:val="center"/>
    </w:pPr>
    <w:r>
      <w:t>Attachment 2-G</w:t>
    </w:r>
    <w:bookmarkStart w:id="0" w:name="_GoBack"/>
    <w:bookmarkEnd w:id="0"/>
  </w:p>
  <w:p w:rsidR="00665DC9" w:rsidRPr="000E58B1" w:rsidRDefault="00665DC9" w:rsidP="00665DC9">
    <w:pPr>
      <w:pStyle w:val="Header"/>
      <w:jc w:val="center"/>
      <w:rPr>
        <w:b/>
      </w:rPr>
    </w:pPr>
    <w:r w:rsidRPr="000E58B1">
      <w:rPr>
        <w:b/>
      </w:rPr>
      <w:t>EXHIBIT D</w:t>
    </w:r>
  </w:p>
  <w:p w:rsidR="00665DC9" w:rsidRPr="000E58B1" w:rsidRDefault="00665DC9" w:rsidP="00665DC9">
    <w:pPr>
      <w:pStyle w:val="Header"/>
      <w:jc w:val="center"/>
      <w:rPr>
        <w:b/>
      </w:rPr>
    </w:pPr>
    <w:r w:rsidRPr="000E58B1">
      <w:rPr>
        <w:b/>
      </w:rPr>
      <w:t>(Standard Agreement)</w:t>
    </w:r>
  </w:p>
  <w:p w:rsidR="00665DC9" w:rsidRDefault="00665D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D03" w:rsidRDefault="00660D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152E3F"/>
    <w:rsid w:val="004449C6"/>
    <w:rsid w:val="00660D03"/>
    <w:rsid w:val="00665DC9"/>
    <w:rsid w:val="00835B87"/>
    <w:rsid w:val="00B022C9"/>
    <w:rsid w:val="00F12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9B7C7-7428-47AD-9BCB-13182C90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1680</Words>
  <Characters>9578</Characters>
  <Application>Microsoft Office Word</Application>
  <DocSecurity>0</DocSecurity>
  <Lines>79</Lines>
  <Paragraphs>22</Paragraphs>
  <ScaleCrop>false</ScaleCrop>
  <Company>DHCS and CDPH</Company>
  <LinksUpToDate>false</LinksUpToDate>
  <CharactersWithSpaces>11236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4</cp:revision>
  <dcterms:created xsi:type="dcterms:W3CDTF">2013-03-19T18:55:00Z</dcterms:created>
  <dcterms:modified xsi:type="dcterms:W3CDTF">2013-05-15T20:07:00Z</dcterms:modified>
</cp:coreProperties>
</file>